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Dec 2024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January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Feb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magenta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</w:p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setup for PAT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highlight w:val="green"/>
                <w:rtl w:val="0"/>
              </w:rPr>
              <w:t xml:space="preserve">Pesticide Applicator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Entire Grounds   4-H Building  Outdoor Arena      Indoor     </w:t>
      </w: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rPr>
          <w:rFonts w:ascii="Arial Black" w:cs="Arial Black" w:eastAsia="Arial Black" w:hAnsi="Arial Black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color w:val="000000"/>
          <w:sz w:val="24"/>
          <w:szCs w:val="24"/>
          <w:rtl w:val="0"/>
        </w:rPr>
        <w:t xml:space="preserve">                              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4051300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Jan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February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Mar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4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5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2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2790825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4029075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Feb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March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Apr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5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7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8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333399"/>
                <w:sz w:val="18"/>
                <w:szCs w:val="18"/>
                <w:highlight w:val="green"/>
                <w:u w:val="none"/>
                <w:vertAlign w:val="baseline"/>
                <w:rtl w:val="0"/>
              </w:rPr>
              <w:t xml:space="preserve">Set Up for Trivia 4pm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green"/>
                <w:rtl w:val="0"/>
              </w:rPr>
              <w:t xml:space="preserve">Trivia Nigh-4-10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color w:val="333399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CA5F6F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CA5F6F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CA5F6F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CA5F6F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CA5F6F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CA5F6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CA5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5F6F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180D3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22" Type="http://schemas.openxmlformats.org/officeDocument/2006/relationships/hyperlink" Target="https://www.wincalendar.com/Holiday-Calendar/April-2025" TargetMode="External"/><Relationship Id="rId21" Type="http://schemas.openxmlformats.org/officeDocument/2006/relationships/hyperlink" Target="https://www.wincalendar.com/Holiday-Calendar/February-2025" TargetMode="External"/><Relationship Id="rId24" Type="http://schemas.openxmlformats.org/officeDocument/2006/relationships/image" Target="media/image12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1.png"/><Relationship Id="rId25" Type="http://schemas.openxmlformats.org/officeDocument/2006/relationships/image" Target="media/image3.png"/><Relationship Id="rId28" Type="http://schemas.openxmlformats.org/officeDocument/2006/relationships/image" Target="media/image13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6.png"/><Relationship Id="rId7" Type="http://schemas.openxmlformats.org/officeDocument/2006/relationships/hyperlink" Target="https://www.wincalendar.com/Holiday-Calendar/December-2024" TargetMode="External"/><Relationship Id="rId8" Type="http://schemas.openxmlformats.org/officeDocument/2006/relationships/hyperlink" Target="https://www.wincalendar.com/Holiday-Calendar/February-2025" TargetMode="External"/><Relationship Id="rId31" Type="http://schemas.openxmlformats.org/officeDocument/2006/relationships/image" Target="media/image2.png"/><Relationship Id="rId30" Type="http://schemas.openxmlformats.org/officeDocument/2006/relationships/image" Target="media/image18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8.png"/><Relationship Id="rId12" Type="http://schemas.openxmlformats.org/officeDocument/2006/relationships/image" Target="media/image17.png"/><Relationship Id="rId15" Type="http://schemas.openxmlformats.org/officeDocument/2006/relationships/hyperlink" Target="https://www.wincalendar.com/Holiday-Calendar/March-2025" TargetMode="External"/><Relationship Id="rId14" Type="http://schemas.openxmlformats.org/officeDocument/2006/relationships/hyperlink" Target="https://www.wincalendar.com/Holiday-Calendar/January-2025" TargetMode="External"/><Relationship Id="rId17" Type="http://schemas.openxmlformats.org/officeDocument/2006/relationships/image" Target="media/image14.png"/><Relationship Id="rId16" Type="http://schemas.openxmlformats.org/officeDocument/2006/relationships/image" Target="media/image15.png"/><Relationship Id="rId19" Type="http://schemas.openxmlformats.org/officeDocument/2006/relationships/image" Target="media/image5.png"/><Relationship Id="rId18" Type="http://schemas.openxmlformats.org/officeDocument/2006/relationships/image" Target="media/image19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JEeInxu5NFyH/aAxl/nJ9a0agQ==">CgMxLjAyCGguZ2pkZ3hzMgloLjMwajB6bGw4AHIhMUxSUGY1WUk0SGJFWnZKNklrNmNQRzRiUHRfdG5UcW5j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2024-08-20T20:38:00Z</dcterms:created>
  <dc:creator>WinCalendar.com</dc:creator>
</cp:coreProperties>
</file>